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Spacing w:w="0" w:type="dxa"/>
        <w:tblCellMar>
          <w:left w:w="0" w:type="dxa"/>
          <w:right w:w="0" w:type="dxa"/>
        </w:tblCellMar>
        <w:tblLook w:val="04A0" w:firstRow="1" w:lastRow="0" w:firstColumn="1" w:lastColumn="0" w:noHBand="0" w:noVBand="1"/>
      </w:tblPr>
      <w:tblGrid>
        <w:gridCol w:w="9339"/>
        <w:gridCol w:w="300"/>
      </w:tblGrid>
      <w:tr w:rsidR="004774F5" w:rsidRPr="004774F5" w:rsidTr="004774F5">
        <w:trPr>
          <w:tblCellSpacing w:w="0" w:type="dxa"/>
          <w:jc w:val="center"/>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9339"/>
            </w:tblGrid>
            <w:tr w:rsidR="004774F5" w:rsidRPr="004774F5">
              <w:trPr>
                <w:tblCellSpacing w:w="0" w:type="dxa"/>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9339"/>
                  </w:tblGrid>
                  <w:tr w:rsidR="004774F5" w:rsidRPr="004774F5">
                    <w:trPr>
                      <w:tblCellSpacing w:w="0" w:type="dxa"/>
                    </w:trPr>
                    <w:tc>
                      <w:tcPr>
                        <w:tcW w:w="0" w:type="auto"/>
                        <w:vAlign w:val="center"/>
                        <w:hideMark/>
                      </w:tcPr>
                      <w:p w:rsidR="004774F5" w:rsidRPr="004774F5" w:rsidRDefault="004774F5" w:rsidP="004774F5">
                        <w:pPr>
                          <w:pBdr>
                            <w:top w:val="single" w:sz="24" w:space="11" w:color="444444"/>
                          </w:pBdr>
                          <w:spacing w:before="150" w:line="270" w:lineRule="atLeast"/>
                          <w:outlineLvl w:val="0"/>
                          <w:rPr>
                            <w:rFonts w:ascii="Arial Black" w:hAnsi="Arial Black"/>
                            <w:b/>
                            <w:bCs/>
                            <w:color w:val="356092"/>
                            <w:kern w:val="36"/>
                            <w:sz w:val="30"/>
                            <w:szCs w:val="30"/>
                            <w:lang w:val="uk-UA" w:eastAsia="uk-UA"/>
                          </w:rPr>
                        </w:pPr>
                        <w:r w:rsidRPr="004774F5">
                          <w:rPr>
                            <w:rFonts w:ascii="Arial Black" w:hAnsi="Arial Black"/>
                            <w:b/>
                            <w:bCs/>
                            <w:color w:val="356092"/>
                            <w:kern w:val="36"/>
                            <w:sz w:val="30"/>
                            <w:szCs w:val="30"/>
                            <w:lang w:val="uk-UA" w:eastAsia="uk-UA"/>
                          </w:rPr>
                          <w:t>Неякісні медогляди стали причиною зростання рівня профзахворювань</w:t>
                        </w:r>
                      </w:p>
                    </w:tc>
                  </w:tr>
                  <w:tr w:rsidR="004774F5" w:rsidRPr="004774F5">
                    <w:trPr>
                      <w:tblCellSpacing w:w="0" w:type="dxa"/>
                    </w:trPr>
                    <w:tc>
                      <w:tcPr>
                        <w:tcW w:w="0" w:type="auto"/>
                        <w:tcMar>
                          <w:top w:w="75" w:type="dxa"/>
                          <w:left w:w="0" w:type="dxa"/>
                          <w:bottom w:w="0" w:type="dxa"/>
                          <w:right w:w="0" w:type="dxa"/>
                        </w:tcMar>
                        <w:vAlign w:val="center"/>
                        <w:hideMark/>
                      </w:tcPr>
                      <w:p w:rsidR="004774F5" w:rsidRPr="004774F5" w:rsidRDefault="004774F5" w:rsidP="004774F5">
                        <w:pPr>
                          <w:rPr>
                            <w:rFonts w:ascii="Arial" w:hAnsi="Arial" w:cs="Arial"/>
                            <w:color w:val="97999C"/>
                            <w:sz w:val="18"/>
                            <w:szCs w:val="18"/>
                            <w:lang w:val="uk-UA" w:eastAsia="uk-UA"/>
                          </w:rPr>
                        </w:pPr>
                        <w:r w:rsidRPr="004774F5">
                          <w:rPr>
                            <w:rFonts w:ascii="Arial" w:hAnsi="Arial" w:cs="Arial"/>
                            <w:color w:val="97999C"/>
                            <w:sz w:val="18"/>
                            <w:szCs w:val="18"/>
                            <w:lang w:val="uk-UA" w:eastAsia="uk-UA"/>
                          </w:rPr>
                          <w:t>12.11.2019</w:t>
                        </w:r>
                      </w:p>
                    </w:tc>
                  </w:tr>
                  <w:tr w:rsidR="004774F5" w:rsidRPr="004774F5">
                    <w:trPr>
                      <w:tblCellSpacing w:w="0" w:type="dxa"/>
                    </w:trPr>
                    <w:tc>
                      <w:tcPr>
                        <w:tcW w:w="0" w:type="auto"/>
                        <w:vAlign w:val="center"/>
                        <w:hideMark/>
                      </w:tcPr>
                      <w:p w:rsidR="004774F5" w:rsidRPr="004774F5" w:rsidRDefault="004774F5" w:rsidP="004774F5">
                        <w:pPr>
                          <w:spacing w:before="120" w:line="225" w:lineRule="atLeast"/>
                          <w:ind w:firstLine="709"/>
                          <w:jc w:val="both"/>
                          <w:rPr>
                            <w:color w:val="676767"/>
                            <w:lang w:val="uk-UA" w:eastAsia="uk-UA"/>
                          </w:rPr>
                        </w:pPr>
                        <w:r w:rsidRPr="004774F5">
                          <w:rPr>
                            <w:rFonts w:ascii="Verdana" w:hAnsi="Verdana"/>
                            <w:color w:val="000000"/>
                            <w:sz w:val="20"/>
                            <w:szCs w:val="20"/>
                            <w:lang w:val="uk-UA" w:eastAsia="uk-UA"/>
                          </w:rPr>
                          <w:t>З випадками неякісного проведення медичних оглядів, за результатами яких вчасно не виявлено підозру на профзахворювання, пов’язано зростання рівня професійної захворюваності серед робітників українських підприємств. Так, відповідно до даних Фонду соціального страхування України, за 9 місяців 2019 року у порівнянні з 9 місяцями 2018 року кількість професійних захворювань збільшилась на 26,5%, або на 348 захворювань (з 1314 до 1662).</w:t>
                        </w:r>
                      </w:p>
                      <w:p w:rsidR="004774F5" w:rsidRPr="004774F5" w:rsidRDefault="004774F5" w:rsidP="004774F5">
                        <w:pPr>
                          <w:spacing w:before="120" w:line="225" w:lineRule="atLeast"/>
                          <w:ind w:firstLine="709"/>
                          <w:jc w:val="both"/>
                          <w:rPr>
                            <w:color w:val="676767"/>
                            <w:lang w:val="uk-UA" w:eastAsia="uk-UA"/>
                          </w:rPr>
                        </w:pPr>
                        <w:r w:rsidRPr="004774F5">
                          <w:rPr>
                            <w:rFonts w:ascii="Verdana" w:hAnsi="Verdana"/>
                            <w:color w:val="000000"/>
                            <w:sz w:val="20"/>
                            <w:szCs w:val="20"/>
                            <w:lang w:val="uk-UA" w:eastAsia="uk-UA"/>
                          </w:rPr>
                          <w:t>Попереднє та періодичне проходження медичних оглядів є обов’язковим для всіх працівників, зайнятих на важких, зі шкідливими або небезпечними умовами праці роботах, де є потреба у професійному доборі, а також для усіх осіб віком до 21 року незалежно від умов праці. Метою проведення медоглядів є визначення стану здоров’я працівника, зокрема, можливості виконання ним певних трудових обов’язків, своєчасне виявлення гострих чи хронічних професійних захворювань, встановлення у разі необхідності медичних протипоказань щодо здійснення окремих видів робіт тощо.</w:t>
                        </w:r>
                      </w:p>
                      <w:p w:rsidR="004774F5" w:rsidRPr="004774F5" w:rsidRDefault="004774F5" w:rsidP="004774F5">
                        <w:pPr>
                          <w:spacing w:before="120" w:line="225" w:lineRule="atLeast"/>
                          <w:ind w:firstLine="709"/>
                          <w:jc w:val="both"/>
                          <w:rPr>
                            <w:color w:val="676767"/>
                            <w:lang w:val="uk-UA" w:eastAsia="uk-UA"/>
                          </w:rPr>
                        </w:pPr>
                        <w:r w:rsidRPr="004774F5">
                          <w:rPr>
                            <w:rFonts w:ascii="Verdana" w:hAnsi="Verdana"/>
                            <w:color w:val="000000"/>
                            <w:sz w:val="20"/>
                            <w:szCs w:val="20"/>
                            <w:lang w:val="uk-UA" w:eastAsia="uk-UA"/>
                          </w:rPr>
                          <w:t>Організація проходження медоглядів здійснюється роботодавцем за його рахунок. Крім того, за результатами медичних оглядів роботодавець зобов’язаний у повному обсязі провести відповідні оздоровчі  заходи, визначені в заключному акті, а також усунути причини,  що призводять до професійних захворювань (отруєнь).</w:t>
                        </w:r>
                      </w:p>
                      <w:p w:rsidR="004774F5" w:rsidRPr="004774F5" w:rsidRDefault="004774F5" w:rsidP="004774F5">
                        <w:pPr>
                          <w:spacing w:before="120" w:line="225" w:lineRule="atLeast"/>
                          <w:ind w:firstLine="709"/>
                          <w:jc w:val="both"/>
                          <w:rPr>
                            <w:color w:val="676767"/>
                            <w:lang w:val="uk-UA" w:eastAsia="uk-UA"/>
                          </w:rPr>
                        </w:pPr>
                        <w:r w:rsidRPr="004774F5">
                          <w:rPr>
                            <w:rFonts w:ascii="Verdana" w:hAnsi="Verdana"/>
                            <w:color w:val="000000"/>
                            <w:sz w:val="20"/>
                            <w:szCs w:val="20"/>
                            <w:lang w:val="uk-UA" w:eastAsia="uk-UA"/>
                          </w:rPr>
                          <w:t>Неякісне проведення оглядів, ухилення від них працівника або незабезпечення проходження медогляду роботодавцем можуть стати причиною розвитку чи загострення професійного захворювання.</w:t>
                        </w:r>
                      </w:p>
                      <w:p w:rsidR="004774F5" w:rsidRPr="004774F5" w:rsidRDefault="004774F5" w:rsidP="004774F5">
                        <w:pPr>
                          <w:spacing w:before="120" w:line="225" w:lineRule="atLeast"/>
                          <w:ind w:firstLine="709"/>
                          <w:jc w:val="both"/>
                          <w:rPr>
                            <w:color w:val="676767"/>
                            <w:lang w:val="uk-UA" w:eastAsia="uk-UA"/>
                          </w:rPr>
                        </w:pPr>
                        <w:r w:rsidRPr="004774F5">
                          <w:rPr>
                            <w:rFonts w:ascii="Verdana" w:hAnsi="Verdana"/>
                            <w:color w:val="000000"/>
                            <w:sz w:val="20"/>
                            <w:szCs w:val="20"/>
                            <w:lang w:val="uk-UA" w:eastAsia="uk-UA"/>
                          </w:rPr>
                          <w:t>Зазначимо, при проведенні перевірок страховими експертами з охорони праці Фонду особлива увага приділяється організації роботодавцем та своєчасності проходження передбачених законодавством медоглядів найманими працівниками, виконанню оздоровчих заходів відповідно до заключного </w:t>
                        </w:r>
                        <w:proofErr w:type="spellStart"/>
                        <w:r w:rsidRPr="004774F5">
                          <w:rPr>
                            <w:rFonts w:ascii="Verdana" w:hAnsi="Verdana"/>
                            <w:color w:val="000000"/>
                            <w:sz w:val="20"/>
                            <w:szCs w:val="20"/>
                            <w:lang w:val="uk-UA" w:eastAsia="uk-UA"/>
                          </w:rPr>
                          <w:t>акта</w:t>
                        </w:r>
                        <w:proofErr w:type="spellEnd"/>
                        <w:r w:rsidRPr="004774F5">
                          <w:rPr>
                            <w:rFonts w:ascii="Verdana" w:hAnsi="Verdana"/>
                            <w:color w:val="000000"/>
                            <w:sz w:val="20"/>
                            <w:szCs w:val="20"/>
                            <w:lang w:val="uk-UA" w:eastAsia="uk-UA"/>
                          </w:rPr>
                          <w:t> за результатами медоглядів.</w:t>
                        </w:r>
                      </w:p>
                      <w:p w:rsidR="004774F5" w:rsidRPr="004774F5" w:rsidRDefault="004774F5" w:rsidP="004774F5">
                        <w:pPr>
                          <w:spacing w:before="120" w:line="225" w:lineRule="atLeast"/>
                          <w:ind w:firstLine="709"/>
                          <w:jc w:val="both"/>
                          <w:rPr>
                            <w:color w:val="676767"/>
                            <w:lang w:val="uk-UA" w:eastAsia="uk-UA"/>
                          </w:rPr>
                        </w:pPr>
                        <w:r w:rsidRPr="004774F5">
                          <w:rPr>
                            <w:rFonts w:ascii="Verdana" w:hAnsi="Verdana"/>
                            <w:color w:val="000000"/>
                            <w:sz w:val="20"/>
                            <w:szCs w:val="20"/>
                            <w:lang w:val="uk-UA" w:eastAsia="uk-UA"/>
                          </w:rPr>
                          <w:t>Також, з метою попередження виникнення професійних захворювань, робочими органами виконавчої дирекції Фонду постійно здійснюється аналіз результатів проходження медоглядів працівниками.</w:t>
                        </w:r>
                      </w:p>
                      <w:p w:rsidR="004774F5" w:rsidRPr="004774F5" w:rsidRDefault="004774F5" w:rsidP="004774F5">
                        <w:pPr>
                          <w:spacing w:before="120" w:line="225" w:lineRule="atLeast"/>
                          <w:ind w:firstLine="709"/>
                          <w:jc w:val="both"/>
                          <w:rPr>
                            <w:color w:val="676767"/>
                            <w:lang w:val="uk-UA" w:eastAsia="uk-UA"/>
                          </w:rPr>
                        </w:pPr>
                        <w:r w:rsidRPr="004774F5">
                          <w:rPr>
                            <w:rFonts w:ascii="Verdana" w:hAnsi="Verdana"/>
                            <w:color w:val="000000"/>
                            <w:sz w:val="20"/>
                            <w:szCs w:val="20"/>
                            <w:lang w:val="uk-UA" w:eastAsia="uk-UA"/>
                          </w:rPr>
                          <w:t>Нагадаємо, упродовж квітня–липня фахівці Фонду направили 106 листів до лікувальних закладів та департаментів охорони здоров’я за наслідками виявлення фактів неякісних медоглядів.</w:t>
                        </w:r>
                      </w:p>
                    </w:tc>
                  </w:tr>
                </w:tbl>
                <w:tbl>
                  <w:tblPr>
                    <w:tblpPr w:leftFromText="45" w:rightFromText="45" w:vertAnchor="text" w:tblpXSpec="right" w:tblpYSpec="center"/>
                    <w:tblW w:w="0" w:type="auto"/>
                    <w:tblCellSpacing w:w="0" w:type="dxa"/>
                    <w:tblCellMar>
                      <w:top w:w="150" w:type="dxa"/>
                      <w:left w:w="150" w:type="dxa"/>
                      <w:bottom w:w="150" w:type="dxa"/>
                      <w:right w:w="150" w:type="dxa"/>
                    </w:tblCellMar>
                    <w:tblLook w:val="04A0" w:firstRow="1" w:lastRow="0" w:firstColumn="1" w:lastColumn="0" w:noHBand="0" w:noVBand="1"/>
                  </w:tblPr>
                  <w:tblGrid>
                    <w:gridCol w:w="840"/>
                  </w:tblGrid>
                  <w:tr w:rsidR="004774F5" w:rsidRPr="004774F5">
                    <w:trPr>
                      <w:tblCellSpacing w:w="0" w:type="dxa"/>
                    </w:trPr>
                    <w:tc>
                      <w:tcPr>
                        <w:tcW w:w="0" w:type="auto"/>
                        <w:vAlign w:val="center"/>
                        <w:hideMark/>
                      </w:tcPr>
                      <w:p w:rsidR="004774F5" w:rsidRPr="004774F5" w:rsidRDefault="004774F5" w:rsidP="004774F5">
                        <w:pPr>
                          <w:jc w:val="right"/>
                          <w:rPr>
                            <w:lang w:val="uk-UA" w:eastAsia="uk-UA"/>
                          </w:rPr>
                        </w:pPr>
                        <w:r>
                          <w:rPr>
                            <w:noProof/>
                            <w:color w:val="0000FF"/>
                            <w:lang w:val="uk-UA" w:eastAsia="uk-UA"/>
                          </w:rPr>
                          <w:drawing>
                            <wp:inline distT="0" distB="0" distL="0" distR="0">
                              <wp:extent cx="342900" cy="323850"/>
                              <wp:effectExtent l="0" t="0" r="0" b="0"/>
                              <wp:docPr id="2" name="Рисунок 2" descr="версія для друку">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ерсія для друку">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900" cy="323850"/>
                                      </a:xfrm>
                                      <a:prstGeom prst="rect">
                                        <a:avLst/>
                                      </a:prstGeom>
                                      <a:noFill/>
                                      <a:ln>
                                        <a:noFill/>
                                      </a:ln>
                                    </pic:spPr>
                                  </pic:pic>
                                </a:graphicData>
                              </a:graphic>
                            </wp:inline>
                          </w:drawing>
                        </w:r>
                      </w:p>
                    </w:tc>
                  </w:tr>
                </w:tbl>
                <w:p w:rsidR="004774F5" w:rsidRPr="004774F5" w:rsidRDefault="004774F5" w:rsidP="004774F5">
                  <w:pPr>
                    <w:rPr>
                      <w:lang w:val="uk-UA" w:eastAsia="uk-UA"/>
                    </w:rPr>
                  </w:pPr>
                </w:p>
              </w:tc>
            </w:tr>
          </w:tbl>
          <w:p w:rsidR="004774F5" w:rsidRPr="004774F5" w:rsidRDefault="004774F5" w:rsidP="004774F5">
            <w:pPr>
              <w:rPr>
                <w:lang w:val="uk-UA" w:eastAsia="uk-UA"/>
              </w:rPr>
            </w:pPr>
          </w:p>
        </w:tc>
        <w:tc>
          <w:tcPr>
            <w:tcW w:w="0" w:type="auto"/>
            <w:vAlign w:val="center"/>
            <w:hideMark/>
          </w:tcPr>
          <w:p w:rsidR="004774F5" w:rsidRPr="004774F5" w:rsidRDefault="004774F5" w:rsidP="004774F5">
            <w:pPr>
              <w:rPr>
                <w:lang w:val="uk-UA" w:eastAsia="uk-UA"/>
              </w:rPr>
            </w:pPr>
            <w:r>
              <w:rPr>
                <w:noProof/>
                <w:lang w:val="uk-UA" w:eastAsia="uk-UA"/>
              </w:rPr>
              <w:drawing>
                <wp:inline distT="0" distB="0" distL="0" distR="0">
                  <wp:extent cx="190500" cy="9525"/>
                  <wp:effectExtent l="0" t="0" r="0" b="0"/>
                  <wp:docPr id="1" name="Рисунок 1" descr="http://www.fse.gov.ua/fse/img/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se.gov.ua/fse/img/1x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p>
        </w:tc>
      </w:tr>
    </w:tbl>
    <w:p w:rsidR="00C70E65" w:rsidRDefault="00C70E65">
      <w:bookmarkStart w:id="0" w:name="_GoBack"/>
      <w:bookmarkEnd w:id="0"/>
    </w:p>
    <w:sectPr w:rsidR="00C70E6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474"/>
    <w:rsid w:val="00045474"/>
    <w:rsid w:val="004774F5"/>
    <w:rsid w:val="00995A65"/>
    <w:rsid w:val="00AC0104"/>
    <w:rsid w:val="00BE1C3E"/>
    <w:rsid w:val="00C70E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A65"/>
    <w:rPr>
      <w:sz w:val="24"/>
      <w:szCs w:val="24"/>
      <w:lang w:val="ru-RU" w:eastAsia="ru-RU"/>
    </w:rPr>
  </w:style>
  <w:style w:type="paragraph" w:styleId="1">
    <w:name w:val="heading 1"/>
    <w:basedOn w:val="a"/>
    <w:next w:val="a"/>
    <w:link w:val="10"/>
    <w:uiPriority w:val="9"/>
    <w:qFormat/>
    <w:rsid w:val="00995A65"/>
    <w:pPr>
      <w:keepNext/>
      <w:jc w:val="center"/>
      <w:outlineLvl w:val="0"/>
    </w:pPr>
    <w:rPr>
      <w:b/>
      <w:bCs/>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5A65"/>
    <w:rPr>
      <w:b/>
      <w:bCs/>
      <w:sz w:val="32"/>
      <w:lang w:eastAsia="ru-RU"/>
    </w:rPr>
  </w:style>
  <w:style w:type="character" w:customStyle="1" w:styleId="spelle">
    <w:name w:val="spelle"/>
    <w:basedOn w:val="a0"/>
    <w:rsid w:val="004774F5"/>
  </w:style>
  <w:style w:type="paragraph" w:styleId="a3">
    <w:name w:val="Balloon Text"/>
    <w:basedOn w:val="a"/>
    <w:link w:val="a4"/>
    <w:uiPriority w:val="99"/>
    <w:semiHidden/>
    <w:unhideWhenUsed/>
    <w:rsid w:val="004774F5"/>
    <w:rPr>
      <w:rFonts w:ascii="Tahoma" w:hAnsi="Tahoma" w:cs="Tahoma"/>
      <w:sz w:val="16"/>
      <w:szCs w:val="16"/>
    </w:rPr>
  </w:style>
  <w:style w:type="character" w:customStyle="1" w:styleId="a4">
    <w:name w:val="Текст у виносці Знак"/>
    <w:basedOn w:val="a0"/>
    <w:link w:val="a3"/>
    <w:uiPriority w:val="99"/>
    <w:semiHidden/>
    <w:rsid w:val="004774F5"/>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A65"/>
    <w:rPr>
      <w:sz w:val="24"/>
      <w:szCs w:val="24"/>
      <w:lang w:val="ru-RU" w:eastAsia="ru-RU"/>
    </w:rPr>
  </w:style>
  <w:style w:type="paragraph" w:styleId="1">
    <w:name w:val="heading 1"/>
    <w:basedOn w:val="a"/>
    <w:next w:val="a"/>
    <w:link w:val="10"/>
    <w:uiPriority w:val="9"/>
    <w:qFormat/>
    <w:rsid w:val="00995A65"/>
    <w:pPr>
      <w:keepNext/>
      <w:jc w:val="center"/>
      <w:outlineLvl w:val="0"/>
    </w:pPr>
    <w:rPr>
      <w:b/>
      <w:bCs/>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5A65"/>
    <w:rPr>
      <w:b/>
      <w:bCs/>
      <w:sz w:val="32"/>
      <w:lang w:eastAsia="ru-RU"/>
    </w:rPr>
  </w:style>
  <w:style w:type="character" w:customStyle="1" w:styleId="spelle">
    <w:name w:val="spelle"/>
    <w:basedOn w:val="a0"/>
    <w:rsid w:val="004774F5"/>
  </w:style>
  <w:style w:type="paragraph" w:styleId="a3">
    <w:name w:val="Balloon Text"/>
    <w:basedOn w:val="a"/>
    <w:link w:val="a4"/>
    <w:uiPriority w:val="99"/>
    <w:semiHidden/>
    <w:unhideWhenUsed/>
    <w:rsid w:val="004774F5"/>
    <w:rPr>
      <w:rFonts w:ascii="Tahoma" w:hAnsi="Tahoma" w:cs="Tahoma"/>
      <w:sz w:val="16"/>
      <w:szCs w:val="16"/>
    </w:rPr>
  </w:style>
  <w:style w:type="character" w:customStyle="1" w:styleId="a4">
    <w:name w:val="Текст у виносці Знак"/>
    <w:basedOn w:val="a0"/>
    <w:link w:val="a3"/>
    <w:uiPriority w:val="99"/>
    <w:semiHidden/>
    <w:rsid w:val="004774F5"/>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242289">
      <w:bodyDiv w:val="1"/>
      <w:marLeft w:val="0"/>
      <w:marRight w:val="0"/>
      <w:marTop w:val="0"/>
      <w:marBottom w:val="0"/>
      <w:divBdr>
        <w:top w:val="none" w:sz="0" w:space="0" w:color="auto"/>
        <w:left w:val="none" w:sz="0" w:space="0" w:color="auto"/>
        <w:bottom w:val="none" w:sz="0" w:space="0" w:color="auto"/>
        <w:right w:val="none" w:sz="0" w:space="0" w:color="auto"/>
      </w:divBdr>
      <w:divsChild>
        <w:div w:id="659117747">
          <w:marLeft w:val="0"/>
          <w:marRight w:val="0"/>
          <w:marTop w:val="0"/>
          <w:marBottom w:val="150"/>
          <w:divBdr>
            <w:top w:val="none" w:sz="0" w:space="0" w:color="auto"/>
            <w:left w:val="none" w:sz="0" w:space="0" w:color="auto"/>
            <w:bottom w:val="none" w:sz="0" w:space="0" w:color="auto"/>
            <w:right w:val="none" w:sz="0" w:space="0" w:color="auto"/>
          </w:divBdr>
          <w:divsChild>
            <w:div w:id="204551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fse.gov.ua/fse/control/main/uk/publish/printable_article/96653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1436</Words>
  <Characters>820</Characters>
  <Application>Microsoft Office Word</Application>
  <DocSecurity>0</DocSecurity>
  <Lines>6</Lines>
  <Paragraphs>4</Paragraphs>
  <ScaleCrop>false</ScaleCrop>
  <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User05</dc:creator>
  <cp:keywords/>
  <dc:description/>
  <cp:lastModifiedBy>User05</cp:lastModifiedBy>
  <cp:revision>2</cp:revision>
  <dcterms:created xsi:type="dcterms:W3CDTF">2019-11-12T12:30:00Z</dcterms:created>
  <dcterms:modified xsi:type="dcterms:W3CDTF">2019-11-12T12:30:00Z</dcterms:modified>
</cp:coreProperties>
</file>